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B30968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="009E43A3">
        <w:rPr>
          <w:sz w:val="28"/>
          <w:szCs w:val="28"/>
        </w:rPr>
        <w:t>по Воронежской области</w:t>
      </w:r>
      <w:r>
        <w:rPr>
          <w:sz w:val="28"/>
          <w:szCs w:val="28"/>
        </w:rPr>
        <w:t>.</w:t>
      </w:r>
      <w:r w:rsidR="009E43A3">
        <w:rPr>
          <w:sz w:val="28"/>
          <w:szCs w:val="28"/>
        </w:rPr>
        <w:t xml:space="preserve"> Контактные телефоны 8 (473) 255-74-72, 8 (473) 255-74-50.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F95C22" w:rsidRPr="00B30968" w:rsidSect="00070BE8">
      <w:footerReference w:type="even" r:id="rId10"/>
      <w:footerReference w:type="default" r:id="rId11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9D" w:rsidRDefault="0095259D" w:rsidP="00C70352">
      <w:r>
        <w:separator/>
      </w:r>
    </w:p>
  </w:endnote>
  <w:endnote w:type="continuationSeparator" w:id="0">
    <w:p w:rsidR="0095259D" w:rsidRDefault="0095259D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9D" w:rsidRDefault="0095259D" w:rsidP="00C70352">
      <w:r>
        <w:separator/>
      </w:r>
    </w:p>
  </w:footnote>
  <w:footnote w:type="continuationSeparator" w:id="0">
    <w:p w:rsidR="0095259D" w:rsidRDefault="0095259D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59D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E43A3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4B05-87B9-4CC7-B69A-D2755B61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1606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Фурсова Раиса Никоноровна</cp:lastModifiedBy>
  <cp:revision>2</cp:revision>
  <cp:lastPrinted>2020-09-10T08:41:00Z</cp:lastPrinted>
  <dcterms:created xsi:type="dcterms:W3CDTF">2020-11-02T10:08:00Z</dcterms:created>
  <dcterms:modified xsi:type="dcterms:W3CDTF">2020-11-02T10:08:00Z</dcterms:modified>
</cp:coreProperties>
</file>